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FA2" w:rsidRPr="00983FA2" w:rsidRDefault="00983FA2" w:rsidP="00983FA2">
      <w:pPr>
        <w:ind w:firstLine="284"/>
        <w:rPr>
          <w:b/>
          <w:bCs/>
        </w:rPr>
      </w:pPr>
      <w:r w:rsidRPr="00983FA2">
        <w:rPr>
          <w:b/>
          <w:bCs/>
          <w:sz w:val="36"/>
          <w:szCs w:val="36"/>
        </w:rPr>
        <w:t>Poker d’assi</w:t>
      </w:r>
    </w:p>
    <w:p w:rsidR="00983FA2" w:rsidRDefault="00983FA2" w:rsidP="00983FA2">
      <w:pPr>
        <w:ind w:firstLine="284"/>
      </w:pPr>
      <w:r>
        <w:t xml:space="preserve">di </w:t>
      </w:r>
      <w:proofErr w:type="spellStart"/>
      <w:r>
        <w:t>lorenzo</w:t>
      </w:r>
      <w:proofErr w:type="spellEnd"/>
      <w:r>
        <w:t xml:space="preserve"> merlo </w:t>
      </w:r>
      <w:proofErr w:type="spellStart"/>
      <w:r>
        <w:t>ekarrrt</w:t>
      </w:r>
      <w:proofErr w:type="spellEnd"/>
      <w:r>
        <w:t xml:space="preserve"> – 160122</w:t>
      </w:r>
    </w:p>
    <w:p w:rsidR="00983FA2" w:rsidRPr="0015573C" w:rsidRDefault="0015573C" w:rsidP="00983FA2">
      <w:pPr>
        <w:ind w:firstLine="284"/>
        <w:rPr>
          <w:i/>
          <w:iCs/>
        </w:rPr>
      </w:pPr>
      <w:r>
        <w:rPr>
          <w:i/>
          <w:iCs/>
        </w:rPr>
        <w:t>S</w:t>
      </w:r>
      <w:r w:rsidRPr="0015573C">
        <w:rPr>
          <w:i/>
          <w:iCs/>
        </w:rPr>
        <w:t xml:space="preserve">empre più persone </w:t>
      </w:r>
      <w:r>
        <w:rPr>
          <w:i/>
          <w:iCs/>
        </w:rPr>
        <w:t>trovano indigesto i</w:t>
      </w:r>
      <w:r w:rsidRPr="0015573C">
        <w:rPr>
          <w:i/>
          <w:iCs/>
        </w:rPr>
        <w:t>l menu governativo.</w:t>
      </w:r>
    </w:p>
    <w:p w:rsidR="00983FA2" w:rsidRDefault="00983FA2" w:rsidP="00983FA2">
      <w:pPr>
        <w:ind w:firstLine="284"/>
      </w:pPr>
    </w:p>
    <w:p w:rsidR="0086762F" w:rsidRDefault="00801C94" w:rsidP="00983FA2">
      <w:pPr>
        <w:ind w:firstLine="284"/>
      </w:pPr>
      <w:r>
        <w:t>Screditare. Deridere. Colpevolizzare. Censurare. Se ci fossero le carte</w:t>
      </w:r>
      <w:r w:rsidR="00983FA2">
        <w:t xml:space="preserve"> da gioco</w:t>
      </w:r>
      <w:r>
        <w:t xml:space="preserve"> governative, questi sarebbero i quattro semi del mazzo.</w:t>
      </w:r>
    </w:p>
    <w:p w:rsidR="00801C94" w:rsidRDefault="00801C94" w:rsidP="00983FA2">
      <w:pPr>
        <w:ind w:firstLine="284"/>
      </w:pPr>
      <w:r>
        <w:t>Ora che stanno emergendo collegamenti che le sinapsi imbambolat</w:t>
      </w:r>
      <w:r w:rsidR="00AA4368">
        <w:t>e</w:t>
      </w:r>
      <w:r>
        <w:t xml:space="preserve"> di molti prima non potevano portare alla consapevolezza, la partita di narrazioni in corso si dimostra gestita da un banco barato.</w:t>
      </w:r>
    </w:p>
    <w:p w:rsidR="00801C94" w:rsidRDefault="00801C94" w:rsidP="00983FA2">
      <w:pPr>
        <w:ind w:firstLine="284"/>
      </w:pPr>
      <w:r>
        <w:t>Nonostante le censure e il dileggio per un banale dissenso, per una elementare critica, che fin dalla prima ora i cosiddetti “ciarlatani”, “</w:t>
      </w:r>
      <w:proofErr w:type="spellStart"/>
      <w:r>
        <w:t>terrapiattisti</w:t>
      </w:r>
      <w:proofErr w:type="spellEnd"/>
      <w:r>
        <w:t>”, “terroristi”, “indegni di cure” e “di parola”</w:t>
      </w:r>
      <w:r w:rsidR="00C314AE">
        <w:t>, “</w:t>
      </w:r>
      <w:proofErr w:type="spellStart"/>
      <w:r w:rsidR="00C314AE">
        <w:t>apoti</w:t>
      </w:r>
      <w:proofErr w:type="spellEnd"/>
      <w:r w:rsidR="00C314AE">
        <w:t xml:space="preserve">” perfino, </w:t>
      </w:r>
      <w:r>
        <w:t xml:space="preserve">hanno denunciato, a partire dai primi </w:t>
      </w:r>
      <w:r w:rsidR="00AA4368">
        <w:t xml:space="preserve">tempi </w:t>
      </w:r>
      <w:r>
        <w:t xml:space="preserve">della </w:t>
      </w:r>
      <w:proofErr w:type="spellStart"/>
      <w:r>
        <w:t>protopandemia</w:t>
      </w:r>
      <w:proofErr w:type="spellEnd"/>
      <w:r>
        <w:t>, la maggioranza delle persone non ha avuto lo spirito necessario per avvertire lo stridore di fondo della gestione governativa messa in campo.</w:t>
      </w:r>
    </w:p>
    <w:p w:rsidR="00801C94" w:rsidRDefault="00801C94" w:rsidP="00983FA2">
      <w:pPr>
        <w:ind w:firstLine="284"/>
      </w:pPr>
      <w:r>
        <w:t xml:space="preserve">Non si tratta di negare il diritto di sorpresa – che </w:t>
      </w:r>
      <w:r w:rsidRPr="00801C94">
        <w:rPr>
          <w:i/>
          <w:iCs/>
        </w:rPr>
        <w:t>tutte</w:t>
      </w:r>
      <w:r>
        <w:t xml:space="preserve"> le reazioni ammette – a chi si è trovato di fronte allo </w:t>
      </w:r>
      <w:proofErr w:type="spellStart"/>
      <w:r>
        <w:t>tsunamico</w:t>
      </w:r>
      <w:proofErr w:type="spellEnd"/>
      <w:r>
        <w:t xml:space="preserve"> problema dell’infettività del virus. Piuttosto di precisare che tutte le reazioni intellettuali e politiche avverse alla linea governativa erano null’altro che la risposta di coloro che quello spirito l’</w:t>
      </w:r>
      <w:r w:rsidR="00AA4368">
        <w:t>h</w:t>
      </w:r>
      <w:r>
        <w:t>anno avuto</w:t>
      </w:r>
      <w:r w:rsidR="00983FA2">
        <w:t>,</w:t>
      </w:r>
      <w:r>
        <w:t xml:space="preserve"> nonostante il terrore elargito a piene mani dai premier, dai loro e non loro esperti, dalla stampa inginocchiata </w:t>
      </w:r>
      <w:r w:rsidR="00983FA2">
        <w:t xml:space="preserve">al verbo del male </w:t>
      </w:r>
      <w:r>
        <w:t>e</w:t>
      </w:r>
      <w:r w:rsidR="00983FA2">
        <w:t>,</w:t>
      </w:r>
      <w:r>
        <w:t xml:space="preserve"> soprattutto</w:t>
      </w:r>
      <w:r w:rsidR="00BE102F">
        <w:t>,</w:t>
      </w:r>
      <w:r>
        <w:t xml:space="preserve"> dall</w:t>
      </w:r>
      <w:r w:rsidR="00983FA2">
        <w:t>o scientismo,</w:t>
      </w:r>
      <w:r>
        <w:t xml:space="preserve"> vulgata della scienza</w:t>
      </w:r>
      <w:r w:rsidR="00983FA2">
        <w:t>,</w:t>
      </w:r>
      <w:r>
        <w:t xml:space="preserve"> vero principio attivo del sortilegio</w:t>
      </w:r>
      <w:r w:rsidR="00983FA2">
        <w:t>.</w:t>
      </w:r>
    </w:p>
    <w:p w:rsidR="00983FA2" w:rsidRDefault="00983FA2" w:rsidP="00983FA2">
      <w:pPr>
        <w:ind w:firstLine="284"/>
      </w:pPr>
      <w:r>
        <w:t xml:space="preserve">Si tratta di osservare la gestione dello </w:t>
      </w:r>
      <w:proofErr w:type="spellStart"/>
      <w:r w:rsidRPr="00AA4368">
        <w:rPr>
          <w:i/>
          <w:iCs/>
        </w:rPr>
        <w:t>tsuvirus</w:t>
      </w:r>
      <w:proofErr w:type="spellEnd"/>
      <w:r>
        <w:t xml:space="preserve">, di riconoscerne le incongruenze, di riscontrarne le contraddizioni, di smascherare il senso politico nascosto da quello sanitario. Di unire i puntini, mescolati al marasma del si salvi chi può, utili per ipotizzare </w:t>
      </w:r>
      <w:r w:rsidR="0015573C">
        <w:t>intenti che non hanno nulla a che vedere con l’infezione potenziale. D</w:t>
      </w:r>
      <w:r>
        <w:t>isegni economico-governativi, differenti da quello di una affannata rincorsa verso il recupero della normalità.</w:t>
      </w:r>
    </w:p>
    <w:p w:rsidR="0015573C" w:rsidRDefault="0015573C" w:rsidP="0015573C">
      <w:pPr>
        <w:ind w:firstLine="284"/>
      </w:pPr>
      <w:r>
        <w:t xml:space="preserve">Se è vero che l’overdose di </w:t>
      </w:r>
      <w:proofErr w:type="spellStart"/>
      <w:r>
        <w:t>imbambolamento</w:t>
      </w:r>
      <w:proofErr w:type="spellEnd"/>
      <w:r>
        <w:t xml:space="preserve"> </w:t>
      </w:r>
      <w:proofErr w:type="spellStart"/>
      <w:r>
        <w:t>divanesco</w:t>
      </w:r>
      <w:proofErr w:type="spellEnd"/>
      <w:r>
        <w:t xml:space="preserve"> è in corso di smaltimento diffuso, una crescente disintossicazione delle sinapsi sta portando alla superficie delle coscienze gli elementi necessari per vedere finalmente come il baro giocava la partita del terrore.</w:t>
      </w:r>
    </w:p>
    <w:p w:rsidR="0015573C" w:rsidRDefault="0015573C" w:rsidP="0015573C">
      <w:pPr>
        <w:ind w:firstLine="284"/>
      </w:pPr>
      <w:r>
        <w:t>Un’evoluzione certo utile che abbisogna però di un’assunzione di responsabilità da parte di questi risvegliati dell’ultima ora, affinché la loro nuova consapevolezza non sia soltanto un opportunistico cambio di casacca, affinché per primi dichiarino di essere caduti nella trappola tesa dalla narrazione dominante.</w:t>
      </w:r>
    </w:p>
    <w:p w:rsidR="0015573C" w:rsidRDefault="0015573C" w:rsidP="0015573C">
      <w:pPr>
        <w:ind w:firstLine="284"/>
      </w:pPr>
      <w:r>
        <w:t xml:space="preserve">La minoranza di </w:t>
      </w:r>
      <w:r w:rsidRPr="007637D7">
        <w:rPr>
          <w:i/>
          <w:iCs/>
        </w:rPr>
        <w:t>ciarlatani</w:t>
      </w:r>
      <w:r>
        <w:t xml:space="preserve">, di quelli che </w:t>
      </w:r>
      <w:r w:rsidRPr="007637D7">
        <w:rPr>
          <w:i/>
          <w:iCs/>
        </w:rPr>
        <w:t>devono pagarsi le cure</w:t>
      </w:r>
      <w:r>
        <w:t xml:space="preserve">, di quelli </w:t>
      </w:r>
      <w:r w:rsidRPr="007637D7">
        <w:rPr>
          <w:i/>
          <w:iCs/>
        </w:rPr>
        <w:t>quotidianamente dileggiati</w:t>
      </w:r>
      <w:r>
        <w:t xml:space="preserve"> dalla stampa, ha finora fatto fronte alle peggiori infamie totalitaristiche – o come devo chiamare ciò a cui abbiamo assistito in questa sbandierata democrazia, reggia di </w:t>
      </w:r>
      <w:proofErr w:type="spellStart"/>
      <w:r>
        <w:t>un’élite</w:t>
      </w:r>
      <w:proofErr w:type="spellEnd"/>
      <w:r>
        <w:t xml:space="preserve"> telecomandata? – </w:t>
      </w:r>
      <w:r w:rsidR="00BE102F">
        <w:t xml:space="preserve">e </w:t>
      </w:r>
      <w:r>
        <w:t>ha bisogno dell’autentica adesione alle critiche che da sola portava alla gestione dello stato di emergenza.</w:t>
      </w:r>
      <w:r w:rsidR="007637D7">
        <w:t xml:space="preserve"> Non di grotteschi ripensamenti</w:t>
      </w:r>
      <w:r w:rsidR="00BE102F">
        <w:t>,</w:t>
      </w:r>
      <w:r w:rsidR="007637D7">
        <w:t xml:space="preserve"> come ho letto sul web</w:t>
      </w:r>
      <w:r w:rsidR="00BE102F">
        <w:t>:</w:t>
      </w:r>
      <w:r w:rsidR="005412DF">
        <w:t xml:space="preserve"> </w:t>
      </w:r>
      <w:r w:rsidR="005412DF" w:rsidRPr="005412DF">
        <w:rPr>
          <w:i/>
          <w:iCs/>
        </w:rPr>
        <w:t>Draghi non ha mentito dicendo che i tra vaccinati si sta sicuri e che chi non si vaccina muore, ha semplicemente evitato di dire che così si ritiene al momento</w:t>
      </w:r>
      <w:r w:rsidR="005412DF">
        <w:t>.</w:t>
      </w:r>
    </w:p>
    <w:p w:rsidR="0015573C" w:rsidRDefault="0015573C" w:rsidP="0015573C">
      <w:pPr>
        <w:ind w:firstLine="284"/>
      </w:pPr>
      <w:r>
        <w:t>Chiunque si stia scrollando d</w:t>
      </w:r>
      <w:r w:rsidR="00AA4368">
        <w:t>a</w:t>
      </w:r>
      <w:r>
        <w:t xml:space="preserve"> dosso il fango che i veri giornalisti – così cercano di presentare </w:t>
      </w:r>
      <w:proofErr w:type="gramStart"/>
      <w:r>
        <w:t>se</w:t>
      </w:r>
      <w:proofErr w:type="gramEnd"/>
      <w:r>
        <w:t xml:space="preserve"> stessi, nonostante riempiano le pagine di vergogna </w:t>
      </w:r>
      <w:proofErr w:type="spellStart"/>
      <w:r>
        <w:t>monosinfonica</w:t>
      </w:r>
      <w:proofErr w:type="spellEnd"/>
      <w:r>
        <w:t xml:space="preserve">, di offensiva pubblicità, di click dedicati a video di uomini comuni – </w:t>
      </w:r>
      <w:r w:rsidR="00AA4368">
        <w:t xml:space="preserve">hanno profuso, </w:t>
      </w:r>
      <w:r>
        <w:t xml:space="preserve">non dovrebbe limitarsi a contemplare gli interrogativi che gli insorgono. Dovrebbe affermarli secondo capacità e ambito in cui si muove. </w:t>
      </w:r>
    </w:p>
    <w:p w:rsidR="0015573C" w:rsidRPr="006324A7" w:rsidRDefault="0015573C" w:rsidP="006324A7">
      <w:r>
        <w:lastRenderedPageBreak/>
        <w:t xml:space="preserve">Ma non per convincere qualcuno, la consapevolezza non è trasmissibile, la razionalità è un refolo che non spinge nessuna </w:t>
      </w:r>
      <w:r w:rsidR="00AC1CEC">
        <w:t>vela</w:t>
      </w:r>
      <w:r>
        <w:t xml:space="preserve">. Solo per esprimerla quando se ne presenta l’opportunità, invece che tacerla. </w:t>
      </w:r>
      <w:r w:rsidR="00AC1CEC">
        <w:t>Leggi europee, Costituzione e Parlamento sono diventati carta da culo</w:t>
      </w:r>
      <w:r w:rsidR="006324A7">
        <w:t xml:space="preserve"> ministeriale e giornalistica. Con il discredito, la derisione, la colpevolizzazione e la censura hanno messo sul tavolo il poker contro la reazione popolare</w:t>
      </w:r>
      <w:r w:rsidR="00D222BD">
        <w:t>,</w:t>
      </w:r>
      <w:r w:rsidR="006324A7">
        <w:t xml:space="preserve"> incapace di rendere plausibile le menzogne governative. V</w:t>
      </w:r>
      <w:r w:rsidR="00AC1CEC">
        <w:t xml:space="preserve">ediamo se riusciranno ad </w:t>
      </w:r>
      <w:r w:rsidR="002D2250">
        <w:t>invalidare</w:t>
      </w:r>
      <w:r w:rsidR="00AC1CEC">
        <w:t xml:space="preserve"> </w:t>
      </w:r>
      <w:r w:rsidR="002D2250">
        <w:t xml:space="preserve">anche </w:t>
      </w:r>
      <w:r w:rsidR="00AC1CEC">
        <w:t>la recente sentenza del Tar del Lazio</w:t>
      </w:r>
      <w:r w:rsidR="00CE1C93">
        <w:t xml:space="preserve"> (1)</w:t>
      </w:r>
      <w:r w:rsidR="00AC1CEC">
        <w:t xml:space="preserve"> che sospende la circolare del Ministero della Salute</w:t>
      </w:r>
      <w:r w:rsidR="00310052">
        <w:t xml:space="preserve"> relativa alla</w:t>
      </w:r>
      <w:r w:rsidR="004F6FE3">
        <w:t xml:space="preserve"> “vigile attesa, fans e paracetamolo”</w:t>
      </w:r>
      <w:r w:rsidR="00D222BD">
        <w:t>,</w:t>
      </w:r>
      <w:r w:rsidR="004F6FE3">
        <w:t xml:space="preserve"> in quanto “si pone in contrasto </w:t>
      </w:r>
      <w:r w:rsidR="004F6FE3" w:rsidRPr="004F6FE3">
        <w:t>con l'attività professionale così come demandata al medico nei termini indicati dalla scienza e dalla deontologia".</w:t>
      </w:r>
    </w:p>
    <w:p w:rsidR="00801C94" w:rsidRDefault="0015573C" w:rsidP="0015573C">
      <w:pPr>
        <w:ind w:firstLine="284"/>
      </w:pPr>
      <w:r>
        <w:t xml:space="preserve">Con </w:t>
      </w:r>
      <w:r w:rsidR="00190CC7">
        <w:t xml:space="preserve">i </w:t>
      </w:r>
      <w:r>
        <w:t>pusillanimi non si fanno eserciti. Di qualunque stirpe li si voglia intendere.</w:t>
      </w:r>
      <w:r w:rsidR="008E5B84">
        <w:t xml:space="preserve"> Ma se la paura che ha stretto le persone dentro il buco nero della menzogna finirà il problema non si pone.</w:t>
      </w:r>
    </w:p>
    <w:p w:rsidR="00CE1C93" w:rsidRDefault="00CE1C93" w:rsidP="0015573C">
      <w:pPr>
        <w:ind w:firstLine="284"/>
      </w:pPr>
    </w:p>
    <w:p w:rsidR="003C12E0" w:rsidRDefault="003C12E0" w:rsidP="0015573C">
      <w:pPr>
        <w:ind w:firstLine="284"/>
      </w:pPr>
    </w:p>
    <w:p w:rsidR="00CE1C93" w:rsidRDefault="00CE1C93" w:rsidP="0015573C">
      <w:pPr>
        <w:ind w:firstLine="284"/>
      </w:pPr>
      <w:r>
        <w:t>(1)</w:t>
      </w:r>
    </w:p>
    <w:p w:rsidR="005A4C23" w:rsidRDefault="005A4C23" w:rsidP="005A4C23">
      <w:pPr>
        <w:ind w:firstLine="284"/>
        <w:rPr>
          <w:i/>
          <w:iCs/>
        </w:rPr>
      </w:pPr>
      <w:r w:rsidRPr="005A4C23">
        <w:rPr>
          <w:i/>
          <w:iCs/>
        </w:rPr>
        <w:t xml:space="preserve">Iter </w:t>
      </w:r>
      <w:r w:rsidR="003C12E0">
        <w:rPr>
          <w:i/>
          <w:iCs/>
        </w:rPr>
        <w:t>istanza cautelare</w:t>
      </w:r>
      <w:r w:rsidR="000C7D8D">
        <w:rPr>
          <w:i/>
          <w:iCs/>
        </w:rPr>
        <w:t>/</w:t>
      </w:r>
      <w:r w:rsidRPr="005A4C23">
        <w:rPr>
          <w:i/>
          <w:iCs/>
        </w:rPr>
        <w:t>sentenza</w:t>
      </w:r>
      <w:r w:rsidR="000C7D8D">
        <w:rPr>
          <w:i/>
          <w:iCs/>
        </w:rPr>
        <w:t xml:space="preserve"> TAR</w:t>
      </w:r>
      <w:r w:rsidRPr="005A4C23">
        <w:rPr>
          <w:i/>
          <w:iCs/>
        </w:rPr>
        <w:t>:</w:t>
      </w:r>
    </w:p>
    <w:p w:rsidR="005A4C23" w:rsidRDefault="005A4C23" w:rsidP="005A4C23">
      <w:pPr>
        <w:ind w:firstLine="284"/>
        <w:rPr>
          <w:i/>
          <w:iCs/>
        </w:rPr>
      </w:pPr>
      <w:r w:rsidRPr="005A4C23">
        <w:t>- 09.12.2020: nota AIFA sulla “vigilante attesa, fans e paracetamolo” (poi inserita nella circolare ministeriale del 26.04.2021);</w:t>
      </w:r>
    </w:p>
    <w:p w:rsidR="005A4C23" w:rsidRDefault="005A4C23" w:rsidP="005A4C23">
      <w:pPr>
        <w:ind w:firstLine="284"/>
        <w:rPr>
          <w:i/>
          <w:iCs/>
        </w:rPr>
      </w:pPr>
      <w:r w:rsidRPr="005A4C23">
        <w:t xml:space="preserve">- </w:t>
      </w:r>
      <w:r w:rsidR="0099096E">
        <w:t>09.02.2021</w:t>
      </w:r>
      <w:r w:rsidRPr="005A4C23">
        <w:t xml:space="preserve">: </w:t>
      </w:r>
      <w:r w:rsidR="0099096E">
        <w:t>ricorso ordinario</w:t>
      </w:r>
      <w:r w:rsidRPr="005A4C23">
        <w:t xml:space="preserve"> del </w:t>
      </w:r>
      <w:r w:rsidRPr="005A4C23">
        <w:rPr>
          <w:i/>
          <w:iCs/>
        </w:rPr>
        <w:t xml:space="preserve">Comitato Terapia domiciliare </w:t>
      </w:r>
      <w:proofErr w:type="spellStart"/>
      <w:r w:rsidRPr="005A4C23">
        <w:rPr>
          <w:i/>
          <w:iCs/>
        </w:rPr>
        <w:t>Covid</w:t>
      </w:r>
      <w:proofErr w:type="spellEnd"/>
      <w:r w:rsidRPr="005A4C23">
        <w:t xml:space="preserve"> </w:t>
      </w:r>
      <w:r w:rsidR="0099096E" w:rsidRPr="005A4C23">
        <w:t xml:space="preserve">(codice </w:t>
      </w:r>
      <w:r w:rsidR="0099096E">
        <w:t>di registro T</w:t>
      </w:r>
      <w:r w:rsidR="00D222BD">
        <w:t>AR</w:t>
      </w:r>
      <w:r w:rsidR="0099096E">
        <w:t>:</w:t>
      </w:r>
      <w:r w:rsidR="0099096E" w:rsidRPr="005A4C23">
        <w:t xml:space="preserve"> 01557/2021)</w:t>
      </w:r>
      <w:r w:rsidR="0099096E">
        <w:t>;</w:t>
      </w:r>
    </w:p>
    <w:p w:rsidR="005A4C23" w:rsidRPr="00FB75E0" w:rsidRDefault="005A4C23" w:rsidP="005A4C23">
      <w:pPr>
        <w:ind w:firstLine="284"/>
      </w:pPr>
      <w:bookmarkStart w:id="0" w:name="_GoBack"/>
      <w:bookmarkEnd w:id="0"/>
      <w:r w:rsidRPr="00FB75E0">
        <w:t>- 04.03.2021: istanza accolta dal TAR</w:t>
      </w:r>
      <w:r w:rsidR="0099096E" w:rsidRPr="00FB75E0">
        <w:t>, ordinanza;</w:t>
      </w:r>
      <w:r w:rsidRPr="00FB75E0">
        <w:t xml:space="preserve"> </w:t>
      </w:r>
    </w:p>
    <w:p w:rsidR="0099096E" w:rsidRPr="00FB75E0" w:rsidRDefault="0099096E" w:rsidP="0099096E">
      <w:pPr>
        <w:ind w:firstLine="284"/>
        <w:rPr>
          <w:i/>
          <w:iCs/>
        </w:rPr>
      </w:pPr>
      <w:r w:rsidRPr="00FB75E0">
        <w:t xml:space="preserve">- 08.07.2021: ricorso ordinario del </w:t>
      </w:r>
      <w:r w:rsidRPr="00FB75E0">
        <w:rPr>
          <w:i/>
          <w:iCs/>
        </w:rPr>
        <w:t xml:space="preserve">Comitato Terapia domiciliare </w:t>
      </w:r>
      <w:proofErr w:type="spellStart"/>
      <w:r w:rsidRPr="00FB75E0">
        <w:rPr>
          <w:i/>
          <w:iCs/>
        </w:rPr>
        <w:t>Covid</w:t>
      </w:r>
      <w:proofErr w:type="spellEnd"/>
      <w:r w:rsidRPr="00FB75E0">
        <w:rPr>
          <w:i/>
          <w:iCs/>
        </w:rPr>
        <w:t xml:space="preserve"> </w:t>
      </w:r>
      <w:r w:rsidRPr="00FB75E0">
        <w:t>(codice di registro T</w:t>
      </w:r>
      <w:r w:rsidR="00D222BD" w:rsidRPr="00FB75E0">
        <w:t>AR</w:t>
      </w:r>
      <w:r w:rsidRPr="00FB75E0">
        <w:t>: 06949/2021);</w:t>
      </w:r>
    </w:p>
    <w:p w:rsidR="0099096E" w:rsidRPr="00FB75E0" w:rsidRDefault="005A4C23" w:rsidP="0099096E">
      <w:pPr>
        <w:ind w:firstLine="284"/>
      </w:pPr>
      <w:r w:rsidRPr="00FB75E0">
        <w:t>- 20.07.2021: udienza pubblica del TAR</w:t>
      </w:r>
      <w:r w:rsidR="0099096E" w:rsidRPr="00FB75E0">
        <w:t>;</w:t>
      </w:r>
    </w:p>
    <w:p w:rsidR="0099096E" w:rsidRPr="00FB75E0" w:rsidRDefault="0099096E" w:rsidP="0099096E">
      <w:pPr>
        <w:ind w:firstLine="284"/>
      </w:pPr>
      <w:r w:rsidRPr="00FB75E0">
        <w:t>- 04.08.2021: camera di consiglio del TAR;</w:t>
      </w:r>
    </w:p>
    <w:p w:rsidR="0099096E" w:rsidRPr="0099096E" w:rsidRDefault="0099096E" w:rsidP="0099096E">
      <w:pPr>
        <w:ind w:firstLine="284"/>
      </w:pPr>
      <w:r w:rsidRPr="00FB75E0">
        <w:t>- 07.12.2021: udienza pubblica del TAR;</w:t>
      </w:r>
    </w:p>
    <w:p w:rsidR="0099096E" w:rsidRDefault="005A4C23" w:rsidP="005A4C23">
      <w:pPr>
        <w:ind w:firstLine="284"/>
      </w:pPr>
      <w:r w:rsidRPr="005A4C23">
        <w:t>- 15.01.2022: sentenza del TAR</w:t>
      </w:r>
      <w:r w:rsidR="0099096E">
        <w:t xml:space="preserve">: </w:t>
      </w:r>
      <w:hyperlink r:id="rId4" w:history="1">
        <w:r w:rsidR="00873148" w:rsidRPr="0091660D">
          <w:rPr>
            <w:rStyle w:val="Collegamentoipertestuale"/>
          </w:rPr>
          <w:t>https://www.giustizia-amministrativa.it/portale/pages/istituzionale/visualizza/?nodeRef=&amp;schema=tar_rm&amp;nrg=202106949&amp;nomeFile=202200419_01.html&amp;subDir=Provvedimenti</w:t>
        </w:r>
      </w:hyperlink>
    </w:p>
    <w:p w:rsidR="00873148" w:rsidRDefault="00873148" w:rsidP="005A4C23">
      <w:pPr>
        <w:ind w:firstLine="284"/>
      </w:pPr>
    </w:p>
    <w:p w:rsidR="0099096E" w:rsidRDefault="0099096E" w:rsidP="005A4C23">
      <w:pPr>
        <w:ind w:firstLine="284"/>
      </w:pPr>
    </w:p>
    <w:p w:rsidR="0099096E" w:rsidRPr="005A4C23" w:rsidRDefault="0099096E" w:rsidP="0099096E">
      <w:pPr>
        <w:pStyle w:val="Titolo1"/>
        <w:shd w:val="clear" w:color="auto" w:fill="FFFFFF"/>
        <w:spacing w:before="0" w:beforeAutospacing="0" w:after="0" w:afterAutospacing="0"/>
        <w:textAlignment w:val="baseline"/>
        <w:rPr>
          <w:i/>
          <w:iCs/>
        </w:rPr>
      </w:pPr>
      <w:r>
        <w:t xml:space="preserve"> </w:t>
      </w:r>
    </w:p>
    <w:p w:rsidR="005A4C23" w:rsidRPr="005A4C23" w:rsidRDefault="005A4C23" w:rsidP="005A4C23">
      <w:pPr>
        <w:ind w:firstLine="284"/>
        <w:rPr>
          <w:i/>
          <w:iCs/>
        </w:rPr>
      </w:pPr>
    </w:p>
    <w:sectPr w:rsidR="005A4C23" w:rsidRPr="005A4C23"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94"/>
    <w:rsid w:val="000A42BD"/>
    <w:rsid w:val="000C7D8D"/>
    <w:rsid w:val="0015573C"/>
    <w:rsid w:val="00190CC7"/>
    <w:rsid w:val="002D2250"/>
    <w:rsid w:val="00310052"/>
    <w:rsid w:val="003C12E0"/>
    <w:rsid w:val="004F6FE3"/>
    <w:rsid w:val="005412DF"/>
    <w:rsid w:val="005A4C23"/>
    <w:rsid w:val="005A5C13"/>
    <w:rsid w:val="006324A7"/>
    <w:rsid w:val="007637D7"/>
    <w:rsid w:val="00801C94"/>
    <w:rsid w:val="00862D21"/>
    <w:rsid w:val="0086762F"/>
    <w:rsid w:val="00873148"/>
    <w:rsid w:val="008E5B84"/>
    <w:rsid w:val="00983FA2"/>
    <w:rsid w:val="0099096E"/>
    <w:rsid w:val="009E3DAB"/>
    <w:rsid w:val="00AA077B"/>
    <w:rsid w:val="00AA4368"/>
    <w:rsid w:val="00AC1CEC"/>
    <w:rsid w:val="00BE102F"/>
    <w:rsid w:val="00C314AE"/>
    <w:rsid w:val="00C35B93"/>
    <w:rsid w:val="00CE1C93"/>
    <w:rsid w:val="00D222BD"/>
    <w:rsid w:val="00EB4071"/>
    <w:rsid w:val="00FB75E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9B9A068-5B46-5542-B00E-A7560831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4C23"/>
  </w:style>
  <w:style w:type="paragraph" w:styleId="Titolo1">
    <w:name w:val="heading 1"/>
    <w:basedOn w:val="Normale"/>
    <w:link w:val="Titolo1Carattere"/>
    <w:uiPriority w:val="9"/>
    <w:qFormat/>
    <w:rsid w:val="00990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F6FE3"/>
    <w:rPr>
      <w:b/>
      <w:bCs/>
    </w:rPr>
  </w:style>
  <w:style w:type="character" w:styleId="Collegamentoipertestuale">
    <w:name w:val="Hyperlink"/>
    <w:basedOn w:val="Carpredefinitoparagrafo"/>
    <w:uiPriority w:val="99"/>
    <w:unhideWhenUsed/>
    <w:rsid w:val="0099096E"/>
    <w:rPr>
      <w:color w:val="0563C1" w:themeColor="hyperlink"/>
      <w:u w:val="single"/>
    </w:rPr>
  </w:style>
  <w:style w:type="character" w:styleId="Menzionenonrisolta">
    <w:name w:val="Unresolved Mention"/>
    <w:basedOn w:val="Carpredefinitoparagrafo"/>
    <w:uiPriority w:val="99"/>
    <w:semiHidden/>
    <w:unhideWhenUsed/>
    <w:rsid w:val="0099096E"/>
    <w:rPr>
      <w:color w:val="605E5C"/>
      <w:shd w:val="clear" w:color="auto" w:fill="E1DFDD"/>
    </w:rPr>
  </w:style>
  <w:style w:type="character" w:customStyle="1" w:styleId="Titolo1Carattere">
    <w:name w:val="Titolo 1 Carattere"/>
    <w:basedOn w:val="Carpredefinitoparagrafo"/>
    <w:link w:val="Titolo1"/>
    <w:uiPriority w:val="9"/>
    <w:rsid w:val="0099096E"/>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2836">
      <w:bodyDiv w:val="1"/>
      <w:marLeft w:val="0"/>
      <w:marRight w:val="0"/>
      <w:marTop w:val="0"/>
      <w:marBottom w:val="0"/>
      <w:divBdr>
        <w:top w:val="none" w:sz="0" w:space="0" w:color="auto"/>
        <w:left w:val="none" w:sz="0" w:space="0" w:color="auto"/>
        <w:bottom w:val="none" w:sz="0" w:space="0" w:color="auto"/>
        <w:right w:val="none" w:sz="0" w:space="0" w:color="auto"/>
      </w:divBdr>
    </w:div>
    <w:div w:id="19283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iustizia-amministrativa.it/portale/pages/istituzionale/visualizza/?nodeRef=&amp;schema=tar_rm&amp;nrg=202106949&amp;nomeFile=202200419_01.html&amp;subDir=Provvedim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813</Words>
  <Characters>4637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25</cp:revision>
  <cp:lastPrinted>2022-01-17T13:29:00Z</cp:lastPrinted>
  <dcterms:created xsi:type="dcterms:W3CDTF">2022-01-16T12:55:00Z</dcterms:created>
  <dcterms:modified xsi:type="dcterms:W3CDTF">2022-01-27T09:35:00Z</dcterms:modified>
</cp:coreProperties>
</file>