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FC" w:rsidRPr="00CD58FC" w:rsidRDefault="004D1656" w:rsidP="00CD58FC">
      <w:pPr>
        <w:ind w:right="1977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Il cobra</w:t>
      </w:r>
    </w:p>
    <w:p w:rsidR="00CD58FC" w:rsidRDefault="00CD58FC" w:rsidP="00CD58FC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031224</w:t>
      </w:r>
    </w:p>
    <w:p w:rsidR="00E85EED" w:rsidRDefault="00E85EED" w:rsidP="00CD58FC">
      <w:pPr>
        <w:ind w:right="1977" w:firstLine="283"/>
      </w:pPr>
    </w:p>
    <w:p w:rsidR="00E85EED" w:rsidRPr="00E85EED" w:rsidRDefault="00E85EED" w:rsidP="00CD58FC">
      <w:pPr>
        <w:ind w:right="1977" w:firstLine="283"/>
        <w:rPr>
          <w:i/>
          <w:iCs/>
        </w:rPr>
      </w:pPr>
      <w:proofErr w:type="spellStart"/>
      <w:r w:rsidRPr="00E85EED">
        <w:t>Stocastopi</w:t>
      </w:r>
      <w:r w:rsidR="00087A7B">
        <w:t>a</w:t>
      </w:r>
      <w:proofErr w:type="spellEnd"/>
      <w:r w:rsidR="00087A7B">
        <w:t>?</w:t>
      </w:r>
      <w:r w:rsidRPr="00E85EED">
        <w:rPr>
          <w:i/>
          <w:iCs/>
        </w:rPr>
        <w:t xml:space="preserve"> Può andare? Distopia non basta più. Questa rispettava e riferiva lo scorrere del pensiero analogico. Con il digitale l’unità di misura è cambiata, ma non </w:t>
      </w:r>
      <w:r w:rsidR="00E63E7C">
        <w:rPr>
          <w:i/>
          <w:iCs/>
        </w:rPr>
        <w:t xml:space="preserve">nel </w:t>
      </w:r>
      <w:r w:rsidRPr="00E85EED">
        <w:rPr>
          <w:i/>
          <w:iCs/>
        </w:rPr>
        <w:t xml:space="preserve">senso di modificata, bensì in quello di alterata. Nel tempo </w:t>
      </w:r>
      <w:proofErr w:type="spellStart"/>
      <w:r w:rsidRPr="00E85EED">
        <w:rPr>
          <w:i/>
          <w:iCs/>
        </w:rPr>
        <w:t>stocastopico</w:t>
      </w:r>
      <w:proofErr w:type="spellEnd"/>
      <w:r w:rsidRPr="00E85EED">
        <w:rPr>
          <w:i/>
          <w:iCs/>
        </w:rPr>
        <w:t xml:space="preserve"> il tempo</w:t>
      </w:r>
      <w:r w:rsidR="00E63E7C">
        <w:rPr>
          <w:i/>
          <w:iCs/>
        </w:rPr>
        <w:t xml:space="preserve"> e</w:t>
      </w:r>
      <w:r w:rsidRPr="00E85EED">
        <w:rPr>
          <w:i/>
          <w:iCs/>
        </w:rPr>
        <w:t xml:space="preserve"> </w:t>
      </w:r>
      <w:r w:rsidR="00E63E7C" w:rsidRPr="00E85EED">
        <w:rPr>
          <w:i/>
          <w:iCs/>
        </w:rPr>
        <w:t xml:space="preserve">le distanze </w:t>
      </w:r>
      <w:r w:rsidRPr="00E85EED">
        <w:rPr>
          <w:i/>
          <w:iCs/>
        </w:rPr>
        <w:t>dell’informazione, della circolazione di parole e immagini, sono annullate e percorse senza fatica, ma anche presenti e un istante dopo sparite. Anche il più sagace nostromo perderebbe la bussola in questo mare di sponde virtuali.</w:t>
      </w:r>
    </w:p>
    <w:p w:rsidR="006B0D64" w:rsidRDefault="006B0D64" w:rsidP="006B0D64">
      <w:pPr>
        <w:ind w:left="0" w:right="1977"/>
      </w:pPr>
    </w:p>
    <w:p w:rsidR="006E2A23" w:rsidRDefault="00A7459F" w:rsidP="006E2A23">
      <w:pPr>
        <w:ind w:right="1977" w:firstLine="283"/>
      </w:pPr>
      <w:r>
        <w:t xml:space="preserve">Non vedo diversità spirituali tra la guerra per esportare democrazia e un atto terroristico. Ne vedo invece nella cronologia. </w:t>
      </w:r>
      <w:r w:rsidR="00C07BFB">
        <w:t xml:space="preserve">È venuta prima la violenza di stato o quella dei tagliagole, bombaroli e martiri? </w:t>
      </w:r>
    </w:p>
    <w:p w:rsidR="0086078C" w:rsidRDefault="006E2A23" w:rsidP="0086078C">
      <w:pPr>
        <w:ind w:right="1977" w:firstLine="283"/>
        <w:rPr>
          <w:color w:val="00B0F0"/>
        </w:rPr>
      </w:pPr>
      <w:r w:rsidRPr="0086078C">
        <w:t>Ne vedo anche nella concezione, così magistralmente inseminata tra le zolle dei popoli, che sono proprio questi a chiamare giustizia la violenza di stato e assassinio quella privata.</w:t>
      </w:r>
      <w:r w:rsidR="00EE6F8B">
        <w:t xml:space="preserve"> </w:t>
      </w:r>
    </w:p>
    <w:p w:rsidR="006E2A23" w:rsidRDefault="006E2A23" w:rsidP="0086078C">
      <w:pPr>
        <w:ind w:right="1977" w:firstLine="283"/>
      </w:pPr>
      <w:r>
        <w:t xml:space="preserve">Ne vedo anche nella forma e, nonostante la vedano tutti, l’incantesimo riesce ancora nel suo intento, tanto da </w:t>
      </w:r>
      <w:r w:rsidR="00EE6F8B">
        <w:t>nasconderne</w:t>
      </w:r>
      <w:r>
        <w:t xml:space="preserve"> la sostanza, la brutalità, il preteso monopolio.</w:t>
      </w:r>
    </w:p>
    <w:p w:rsidR="006E2A23" w:rsidRPr="00E934A1" w:rsidRDefault="006E2A23" w:rsidP="006E2A23">
      <w:pPr>
        <w:ind w:right="1977" w:firstLine="283"/>
      </w:pPr>
      <w:r>
        <w:t xml:space="preserve">Per quanto l’essere violento sia un momento dell’essere umano, vedo come l’impiego della violenza sia culturalmente alimentato. L’imbocco al popolino bisognoso di emozioni non solo sussiste, ma cresce. </w:t>
      </w:r>
      <w:r w:rsidRPr="00120010">
        <w:t xml:space="preserve">La ragione commerciale vince a mani bassi la gara nel circuito del liberismo. </w:t>
      </w:r>
      <w:r w:rsidRPr="00E934A1">
        <w:t>Vendere e far comprare sono il concorrente e l’arbitro che</w:t>
      </w:r>
      <w:r w:rsidR="00E63E7C" w:rsidRPr="00E934A1">
        <w:t>,</w:t>
      </w:r>
      <w:r w:rsidRPr="00E934A1">
        <w:t xml:space="preserve"> inconsapevolmente governa la </w:t>
      </w:r>
      <w:r w:rsidR="00EE308B" w:rsidRPr="00E934A1">
        <w:t>partita costringendo noi tutti alla regola del mercato capitalista.</w:t>
      </w:r>
      <w:r w:rsidR="00EE6F8B" w:rsidRPr="00E934A1">
        <w:t xml:space="preserve"> </w:t>
      </w:r>
      <w:r w:rsidR="00120010" w:rsidRPr="00E934A1">
        <w:t>Hollywood, una delle sue motrici, ce lo rende evidente. Basta guardare nei suoi men</w:t>
      </w:r>
      <w:r w:rsidR="00E63E7C" w:rsidRPr="00E934A1">
        <w:t>ù</w:t>
      </w:r>
      <w:r w:rsidR="00120010" w:rsidRPr="00E934A1">
        <w:t xml:space="preserve"> la percentuale di brutalità complessiva rispetto all’inter</w:t>
      </w:r>
      <w:r w:rsidR="00E63E7C" w:rsidRPr="00E934A1">
        <w:t>a</w:t>
      </w:r>
      <w:r w:rsidR="00120010" w:rsidRPr="00E934A1">
        <w:t xml:space="preserve"> produzione. </w:t>
      </w:r>
      <w:r w:rsidR="00E63E7C" w:rsidRPr="00E934A1">
        <w:t>In quel modo, inoltre, propaganda</w:t>
      </w:r>
      <w:r w:rsidR="00120010" w:rsidRPr="00E934A1">
        <w:t xml:space="preserve"> una certa morale manichea tra buoni e cattivi, alimenta il principio statunitense del Destino manifesto, elegge e coltiva miti ed eroi nazionali, </w:t>
      </w:r>
      <w:r w:rsidR="0061558E" w:rsidRPr="00E934A1">
        <w:t xml:space="preserve">mangime </w:t>
      </w:r>
      <w:r w:rsidR="00120010" w:rsidRPr="00E934A1">
        <w:t>sempre n</w:t>
      </w:r>
      <w:r w:rsidR="0061558E" w:rsidRPr="00E934A1">
        <w:t>utriente da gettare nel cortile dei semplici.</w:t>
      </w:r>
    </w:p>
    <w:p w:rsidR="00C07BFB" w:rsidRDefault="00C07BFB" w:rsidP="00CD58FC">
      <w:pPr>
        <w:ind w:right="1977" w:firstLine="283"/>
      </w:pPr>
    </w:p>
    <w:p w:rsidR="00EC2761" w:rsidRDefault="0012250F" w:rsidP="00EC2761">
      <w:pPr>
        <w:ind w:right="1977" w:firstLine="283"/>
      </w:pPr>
      <w:r>
        <w:t>Vedo</w:t>
      </w:r>
      <w:r w:rsidR="00A7459F">
        <w:t xml:space="preserve"> </w:t>
      </w:r>
      <w:r>
        <w:t xml:space="preserve">differenze tra la violenza delle istituzioni e quelle individuali e settarie </w:t>
      </w:r>
      <w:r w:rsidR="00A7459F">
        <w:t>ne</w:t>
      </w:r>
      <w:r>
        <w:t>l</w:t>
      </w:r>
      <w:r w:rsidR="00A7459F">
        <w:t xml:space="preserve"> gradient</w:t>
      </w:r>
      <w:r>
        <w:t>e</w:t>
      </w:r>
      <w:r w:rsidR="00A7459F">
        <w:t xml:space="preserve"> di brutalità </w:t>
      </w:r>
      <w:r>
        <w:t>e di</w:t>
      </w:r>
      <w:r w:rsidR="00A7459F">
        <w:t xml:space="preserve"> sofisticazione</w:t>
      </w:r>
      <w:r w:rsidR="00C07BFB">
        <w:t xml:space="preserve">. </w:t>
      </w:r>
      <w:r>
        <w:t>Ma evidentemente non è prospettiva condivisa. Così, le bombe di</w:t>
      </w:r>
      <w:r w:rsidRPr="0012250F">
        <w:t xml:space="preserve"> </w:t>
      </w:r>
      <w:r>
        <w:t xml:space="preserve">Hiroshima e Nagasaki da imperdonabile marchio bastante a bandire chiunque dalla comunità umana, risciacquate nell’emolliente dell’incantesimo sono divenute opera di </w:t>
      </w:r>
      <w:r w:rsidR="00C07BFB">
        <w:t>civiltà</w:t>
      </w:r>
      <w:r>
        <w:t xml:space="preserve">. Il destino del candeggio nella bacinella non appartiene al </w:t>
      </w:r>
      <w:r w:rsidR="00C07BFB">
        <w:t xml:space="preserve">giubbotto esplosivo, </w:t>
      </w:r>
      <w:r>
        <w:t xml:space="preserve">non è disponibile </w:t>
      </w:r>
      <w:r w:rsidR="0086078C">
        <w:t>per</w:t>
      </w:r>
      <w:r>
        <w:t xml:space="preserve"> chi sta soffocando sotto il peso delle norme</w:t>
      </w:r>
      <w:r w:rsidR="00EC2761">
        <w:t xml:space="preserve"> che non gli appartengono, dei valori che gli sono imposti. </w:t>
      </w:r>
    </w:p>
    <w:p w:rsidR="00EC2761" w:rsidRDefault="00EC2761" w:rsidP="00EC2761">
      <w:pPr>
        <w:ind w:right="1977" w:firstLine="283"/>
      </w:pPr>
    </w:p>
    <w:p w:rsidR="006B0D64" w:rsidRDefault="00EC2761" w:rsidP="006B0D64">
      <w:pPr>
        <w:ind w:right="1977" w:firstLine="283"/>
      </w:pPr>
      <w:r w:rsidRPr="005013A1">
        <w:t xml:space="preserve">Così, il popolo </w:t>
      </w:r>
      <w:r w:rsidR="00EE6F8B" w:rsidRPr="005013A1">
        <w:t>del vecchio continente</w:t>
      </w:r>
      <w:r w:rsidRPr="005013A1">
        <w:t xml:space="preserve">, per quanto allibito dalla politica dell’Unione Europea – titolo di un non stato, nome di un corpo senza suffragio, ente senza un’anima che non sia merce – si vede costretto ad assistere a ciò </w:t>
      </w:r>
      <w:r w:rsidRPr="00095CAB">
        <w:t xml:space="preserve">che </w:t>
      </w:r>
      <w:r w:rsidRPr="00E934A1">
        <w:t xml:space="preserve">pare più una </w:t>
      </w:r>
      <w:r w:rsidRPr="00E934A1">
        <w:rPr>
          <w:i/>
          <w:iCs/>
        </w:rPr>
        <w:t>pi</w:t>
      </w:r>
      <w:r w:rsidR="00095CAB" w:rsidRPr="00E934A1">
        <w:rPr>
          <w:i/>
          <w:iCs/>
        </w:rPr>
        <w:t>è</w:t>
      </w:r>
      <w:r w:rsidRPr="00E934A1">
        <w:rPr>
          <w:i/>
          <w:iCs/>
        </w:rPr>
        <w:t>ce</w:t>
      </w:r>
      <w:r w:rsidRPr="00E934A1">
        <w:t xml:space="preserve"> teatrale</w:t>
      </w:r>
      <w:r w:rsidR="002D0118" w:rsidRPr="00E934A1">
        <w:t>,</w:t>
      </w:r>
      <w:r w:rsidRPr="00E934A1">
        <w:t xml:space="preserve"> buona per sbeffeggiare </w:t>
      </w:r>
      <w:r w:rsidR="002D0118" w:rsidRPr="00E934A1">
        <w:t xml:space="preserve">e surclassare </w:t>
      </w:r>
      <w:r w:rsidRPr="00E934A1">
        <w:t>il Dottor Stranamore</w:t>
      </w:r>
      <w:r w:rsidR="002D0118" w:rsidRPr="00E934A1">
        <w:t xml:space="preserve">, </w:t>
      </w:r>
      <w:r w:rsidR="003576B4" w:rsidRPr="00E934A1">
        <w:t>Orwell</w:t>
      </w:r>
      <w:r w:rsidR="002D0118" w:rsidRPr="00E934A1">
        <w:t xml:space="preserve">, Huxley e </w:t>
      </w:r>
      <w:proofErr w:type="spellStart"/>
      <w:r w:rsidR="002D0118" w:rsidRPr="00E934A1">
        <w:t>Zamjatin</w:t>
      </w:r>
      <w:proofErr w:type="spellEnd"/>
      <w:r w:rsidR="002D0118" w:rsidRPr="00E934A1">
        <w:t xml:space="preserve"> messi insieme</w:t>
      </w:r>
      <w:r w:rsidR="00095CAB" w:rsidRPr="00E934A1">
        <w:t>, che una realtà che con la ribalta non ha nulla a che fare</w:t>
      </w:r>
      <w:r w:rsidR="00EE6F8B" w:rsidRPr="00E934A1">
        <w:t>.</w:t>
      </w:r>
      <w:r w:rsidR="00EE6F8B">
        <w:t xml:space="preserve"> </w:t>
      </w:r>
      <w:r w:rsidR="00697B24" w:rsidRPr="00EE6F8B">
        <w:t>Al</w:t>
      </w:r>
      <w:r w:rsidR="00697B24">
        <w:t xml:space="preserve"> blasfemo </w:t>
      </w:r>
      <w:r>
        <w:t>spettacolo dell’élite politica</w:t>
      </w:r>
      <w:r w:rsidR="00697B24">
        <w:t xml:space="preserve"> corrisponde</w:t>
      </w:r>
      <w:r w:rsidR="00E63E7C">
        <w:t>,</w:t>
      </w:r>
      <w:r w:rsidR="00697B24">
        <w:t xml:space="preserve"> però</w:t>
      </w:r>
      <w:r w:rsidR="00E63E7C">
        <w:t>,</w:t>
      </w:r>
      <w:r w:rsidR="00697B24">
        <w:t xml:space="preserve"> una</w:t>
      </w:r>
      <w:r>
        <w:t xml:space="preserve"> popolare realtà sanguinante</w:t>
      </w:r>
      <w:r w:rsidR="00697B24">
        <w:t xml:space="preserve">. Se dai palchi del teatro di guerra </w:t>
      </w:r>
      <w:r w:rsidR="00C04380">
        <w:t>signore</w:t>
      </w:r>
      <w:r w:rsidR="00697B24">
        <w:t xml:space="preserve"> ingioiellate e impeccabili frac applaudono, la plebaglia in platea vomita e incredula si </w:t>
      </w:r>
      <w:r w:rsidR="00697B24">
        <w:lastRenderedPageBreak/>
        <w:t xml:space="preserve">dispera. È consapevole che il suo potere dall’urna è passato allo scontrino, che </w:t>
      </w:r>
      <w:proofErr w:type="spellStart"/>
      <w:r w:rsidR="00697B24">
        <w:t>qual</w:t>
      </w:r>
      <w:r w:rsidR="00BD073E">
        <w:t>u</w:t>
      </w:r>
      <w:r w:rsidR="00697B24">
        <w:t>que</w:t>
      </w:r>
      <w:proofErr w:type="spellEnd"/>
      <w:r w:rsidR="00697B24">
        <w:t xml:space="preserve"> </w:t>
      </w:r>
      <w:proofErr w:type="spellStart"/>
      <w:r w:rsidR="00697B24">
        <w:t>buuuuuu</w:t>
      </w:r>
      <w:proofErr w:type="spellEnd"/>
      <w:r w:rsidR="00697B24">
        <w:t xml:space="preserve"> di </w:t>
      </w:r>
      <w:r w:rsidR="00BD073E">
        <w:t>tifoseria</w:t>
      </w:r>
      <w:r w:rsidR="00697B24">
        <w:t xml:space="preserve"> non conta nulla, tranne che lo </w:t>
      </w:r>
      <w:r w:rsidR="00BD073E">
        <w:t xml:space="preserve">si </w:t>
      </w:r>
      <w:r w:rsidR="00697B24">
        <w:t>rivolga a un negro</w:t>
      </w:r>
      <w:r w:rsidR="003576B4">
        <w:t xml:space="preserve">, allora </w:t>
      </w:r>
      <w:r w:rsidR="00BD073E">
        <w:t>c’è</w:t>
      </w:r>
      <w:r w:rsidR="003576B4">
        <w:t xml:space="preserve"> </w:t>
      </w:r>
      <w:r w:rsidR="00BD073E">
        <w:t>l’</w:t>
      </w:r>
      <w:r w:rsidR="003576B4">
        <w:t xml:space="preserve">arresto. </w:t>
      </w:r>
    </w:p>
    <w:p w:rsidR="006B0D64" w:rsidRDefault="00E63E7C" w:rsidP="006B0D64">
      <w:pPr>
        <w:ind w:right="1977" w:firstLine="283"/>
      </w:pPr>
      <w:r>
        <w:t>[</w:t>
      </w:r>
      <w:r w:rsidR="006B0D64" w:rsidRPr="006B0D64">
        <w:rPr>
          <w:i/>
          <w:iCs/>
        </w:rPr>
        <w:t>Negro</w:t>
      </w:r>
      <w:r w:rsidR="006B0D64" w:rsidRPr="006B0D64">
        <w:t xml:space="preserve"> p</w:t>
      </w:r>
      <w:r w:rsidR="006B0D64">
        <w:t>e</w:t>
      </w:r>
      <w:r w:rsidR="006B0D64" w:rsidRPr="006B0D64">
        <w:t xml:space="preserve">r alcuni </w:t>
      </w:r>
      <w:r w:rsidR="006B0D64">
        <w:t xml:space="preserve">è </w:t>
      </w:r>
      <w:r w:rsidR="006B0D64" w:rsidRPr="006B0D64">
        <w:t>razzis</w:t>
      </w:r>
      <w:r w:rsidR="006B0D64">
        <w:t xml:space="preserve">mo o </w:t>
      </w:r>
      <w:r w:rsidR="006B0D64" w:rsidRPr="00EE6F8B">
        <w:rPr>
          <w:i/>
          <w:iCs/>
        </w:rPr>
        <w:t xml:space="preserve">fatti </w:t>
      </w:r>
      <w:r w:rsidR="006B0D64">
        <w:t>del genere, che riguardano solo il pensiero ideologizzato,</w:t>
      </w:r>
      <w:r w:rsidR="006B0D64" w:rsidRPr="006B0D64">
        <w:t xml:space="preserve"> per altri </w:t>
      </w:r>
      <w:r w:rsidR="006B0D64">
        <w:t xml:space="preserve">non lo è </w:t>
      </w:r>
      <w:r w:rsidR="006B0D64" w:rsidRPr="006B0D64">
        <w:t>per niente</w:t>
      </w:r>
      <w:r w:rsidR="006B0D64">
        <w:t xml:space="preserve">. Come </w:t>
      </w:r>
      <w:r w:rsidR="006B0D64" w:rsidRPr="006B0D64">
        <w:rPr>
          <w:i/>
          <w:iCs/>
        </w:rPr>
        <w:t>mamma</w:t>
      </w:r>
      <w:r w:rsidR="006B0D64">
        <w:t xml:space="preserve"> e </w:t>
      </w:r>
      <w:r w:rsidR="006B0D64" w:rsidRPr="006B0D64">
        <w:rPr>
          <w:i/>
          <w:iCs/>
        </w:rPr>
        <w:t>papà</w:t>
      </w:r>
      <w:r w:rsidR="006B0D64">
        <w:t>,</w:t>
      </w:r>
      <w:r w:rsidR="00EE6F8B">
        <w:t xml:space="preserve"> </w:t>
      </w:r>
      <w:r w:rsidR="006B0D64">
        <w:t xml:space="preserve">surrettiziamente </w:t>
      </w:r>
      <w:r w:rsidR="00095CAB">
        <w:t>in via di eliminazione o equiparazione</w:t>
      </w:r>
      <w:r w:rsidR="006B0D64" w:rsidRPr="006B0D64">
        <w:t xml:space="preserve"> </w:t>
      </w:r>
      <w:r w:rsidR="00095CAB">
        <w:t>con</w:t>
      </w:r>
      <w:r w:rsidR="006B0D64" w:rsidRPr="006B0D64">
        <w:t xml:space="preserve"> </w:t>
      </w:r>
      <w:r w:rsidR="006B0D64" w:rsidRPr="006B0D64">
        <w:rPr>
          <w:i/>
          <w:iCs/>
        </w:rPr>
        <w:t>genitore</w:t>
      </w:r>
      <w:r w:rsidR="006B0D64">
        <w:t xml:space="preserve"> </w:t>
      </w:r>
      <w:r w:rsidR="006B0D64" w:rsidRPr="006B0D64">
        <w:rPr>
          <w:i/>
          <w:iCs/>
        </w:rPr>
        <w:t>uno</w:t>
      </w:r>
      <w:r w:rsidR="006B0D64">
        <w:t xml:space="preserve"> e </w:t>
      </w:r>
      <w:r w:rsidR="006B0D64" w:rsidRPr="006B0D64">
        <w:rPr>
          <w:i/>
          <w:iCs/>
        </w:rPr>
        <w:t>genitore due</w:t>
      </w:r>
      <w:r w:rsidR="006B0D64">
        <w:t xml:space="preserve">; e con quale geniale criterio </w:t>
      </w:r>
      <w:r w:rsidR="00EE6F8B">
        <w:t>sentirsi uno o l’altro</w:t>
      </w:r>
      <w:r w:rsidR="006B0D64">
        <w:t>?</w:t>
      </w:r>
      <w:r>
        <w:t>]</w:t>
      </w:r>
    </w:p>
    <w:p w:rsidR="003576B4" w:rsidRDefault="003576B4" w:rsidP="003576B4">
      <w:pPr>
        <w:ind w:right="1977" w:firstLine="283"/>
      </w:pPr>
      <w:r>
        <w:t xml:space="preserve">È consapevole </w:t>
      </w:r>
      <w:r w:rsidR="00697B24">
        <w:t xml:space="preserve">che prima, anche se votava il piccolo partito, manteneva il suo status di cittadino </w:t>
      </w:r>
      <w:r>
        <w:t xml:space="preserve">e che ora, se non compra da far scoppiare la casa, ammesso ce l’abbia, non conta niente e che quando scoppierà non conterà </w:t>
      </w:r>
      <w:r w:rsidR="00EE6F8B" w:rsidRPr="00E63E7C">
        <w:t xml:space="preserve">comunque </w:t>
      </w:r>
      <w:r>
        <w:t>niente.</w:t>
      </w:r>
    </w:p>
    <w:p w:rsidR="00BD073E" w:rsidRDefault="003576B4" w:rsidP="002D0118">
      <w:pPr>
        <w:ind w:right="1977" w:firstLine="283"/>
        <w:rPr>
          <w:color w:val="000000" w:themeColor="text1"/>
        </w:rPr>
      </w:pPr>
      <w:r>
        <w:t>Fino a ieri, m</w:t>
      </w:r>
      <w:r w:rsidR="00697B24">
        <w:t xml:space="preserve">ai nessuno </w:t>
      </w:r>
      <w:r>
        <w:t xml:space="preserve">di quella platea, neppure sotto tortura dell’immaginario, </w:t>
      </w:r>
      <w:r w:rsidR="00697B24">
        <w:t>avrebbe potuto</w:t>
      </w:r>
      <w:r w:rsidR="00697B24" w:rsidRPr="00EC2761">
        <w:t xml:space="preserve"> </w:t>
      </w:r>
      <w:r w:rsidR="00697B24">
        <w:t xml:space="preserve">ipotizzare </w:t>
      </w:r>
      <w:r>
        <w:t>ci</w:t>
      </w:r>
      <w:r w:rsidR="00BD073E">
        <w:t>ò</w:t>
      </w:r>
      <w:r>
        <w:t xml:space="preserve"> a cui sta assi</w:t>
      </w:r>
      <w:r w:rsidR="00BD073E">
        <w:t>s</w:t>
      </w:r>
      <w:r>
        <w:t>tendo.</w:t>
      </w:r>
      <w:r w:rsidR="00BD073E">
        <w:t xml:space="preserve"> </w:t>
      </w:r>
      <w:r w:rsidR="00EE6F8B">
        <w:t xml:space="preserve">Una platea resa impotente soprattutto dall’inerzia accondiscendente dei suoi simili in Bmw e Suv elettrico. </w:t>
      </w:r>
      <w:r w:rsidR="00BD073E">
        <w:t xml:space="preserve">Quelli che si sono </w:t>
      </w:r>
      <w:r w:rsidR="00BD073E" w:rsidRPr="002D0118">
        <w:rPr>
          <w:color w:val="000000" w:themeColor="text1"/>
        </w:rPr>
        <w:t xml:space="preserve">risentiti per lo sterminio degli indiani, ma continuano ad andare a sciare, ridendo di quello dei loro simili, perché non vedono che baionetta e </w:t>
      </w:r>
      <w:r w:rsidR="00E63E7C">
        <w:rPr>
          <w:color w:val="000000" w:themeColor="text1"/>
        </w:rPr>
        <w:t>w</w:t>
      </w:r>
      <w:r w:rsidR="00BD073E" w:rsidRPr="002D0118">
        <w:rPr>
          <w:color w:val="000000" w:themeColor="text1"/>
        </w:rPr>
        <w:t xml:space="preserve">inchester non sono differenti dalle incruente ma soggioganti armi digitali e </w:t>
      </w:r>
      <w:proofErr w:type="spellStart"/>
      <w:r w:rsidR="00BD073E" w:rsidRPr="002D0118">
        <w:rPr>
          <w:color w:val="000000" w:themeColor="text1"/>
        </w:rPr>
        <w:t>circonvenzionanti</w:t>
      </w:r>
      <w:proofErr w:type="spellEnd"/>
      <w:r w:rsidR="00BD073E" w:rsidRPr="002D0118">
        <w:rPr>
          <w:color w:val="000000" w:themeColor="text1"/>
        </w:rPr>
        <w:t xml:space="preserve"> di ora, </w:t>
      </w:r>
      <w:r w:rsidR="002D0118" w:rsidRPr="002D0118">
        <w:rPr>
          <w:color w:val="000000" w:themeColor="text1"/>
        </w:rPr>
        <w:t xml:space="preserve">che </w:t>
      </w:r>
      <w:r w:rsidR="005013A1">
        <w:rPr>
          <w:color w:val="000000" w:themeColor="text1"/>
        </w:rPr>
        <w:t>compiono</w:t>
      </w:r>
      <w:r w:rsidR="002D0118" w:rsidRPr="002D0118">
        <w:rPr>
          <w:color w:val="000000" w:themeColor="text1"/>
        </w:rPr>
        <w:t xml:space="preserve"> lo stesso sterminio compiuto da quelle </w:t>
      </w:r>
      <w:r w:rsidR="00BD073E" w:rsidRPr="002D0118">
        <w:rPr>
          <w:color w:val="000000" w:themeColor="text1"/>
        </w:rPr>
        <w:t xml:space="preserve">bianche e </w:t>
      </w:r>
      <w:r w:rsidR="002D0118" w:rsidRPr="002D0118">
        <w:rPr>
          <w:color w:val="000000" w:themeColor="text1"/>
        </w:rPr>
        <w:t>da</w:t>
      </w:r>
      <w:r w:rsidR="00BD073E" w:rsidRPr="002D0118">
        <w:rPr>
          <w:color w:val="000000" w:themeColor="text1"/>
        </w:rPr>
        <w:t xml:space="preserve"> fuoco</w:t>
      </w:r>
      <w:r w:rsidR="002D0118" w:rsidRPr="002D0118">
        <w:rPr>
          <w:color w:val="000000" w:themeColor="text1"/>
        </w:rPr>
        <w:t>.</w:t>
      </w:r>
    </w:p>
    <w:p w:rsidR="001F6F36" w:rsidRDefault="001F6F36" w:rsidP="001F6F36">
      <w:pPr>
        <w:ind w:right="1977" w:firstLine="283"/>
      </w:pPr>
      <w:r>
        <w:rPr>
          <w:color w:val="000000" w:themeColor="text1"/>
        </w:rPr>
        <w:t xml:space="preserve">Quelli che </w:t>
      </w:r>
      <w:r>
        <w:t>non vedono né considerano l’invasiva i</w:t>
      </w:r>
      <w:r w:rsidR="005013A1">
        <w:t>n</w:t>
      </w:r>
      <w:r>
        <w:t>stillazione capillare dello stile e dei valori occidentali nelle culture fiorite da alberi differenti da quelli che hanno generato il liberismo, il capitalismo, il materialismo, l’individualismo.</w:t>
      </w:r>
    </w:p>
    <w:p w:rsidR="001F6F36" w:rsidRDefault="001F6F36" w:rsidP="001F6F36">
      <w:pPr>
        <w:ind w:right="1977" w:firstLine="283"/>
      </w:pPr>
      <w:r>
        <w:t>Quelli come i progressisti di sinistra e di destra, per i quali si può accettare e considerare ordinaria la demolizione programmata delle tradizioni identitarie piccole e grandi</w:t>
      </w:r>
      <w:r w:rsidR="00EE6F8B">
        <w:t>.</w:t>
      </w:r>
    </w:p>
    <w:p w:rsidR="001F6F36" w:rsidRDefault="001F6F36" w:rsidP="001F6F36">
      <w:pPr>
        <w:ind w:right="1977" w:firstLine="283"/>
      </w:pPr>
      <w:r>
        <w:t xml:space="preserve">Quelli per cui si può mettere la testa sotto la sabbia </w:t>
      </w:r>
      <w:r w:rsidR="00EE6F8B">
        <w:t>e</w:t>
      </w:r>
      <w:r>
        <w:t xml:space="preserve"> dire di non aver visto il potere che abbiamo dato a entità che per esser spiegate e ammesse </w:t>
      </w:r>
      <w:r w:rsidR="00EE6F8B">
        <w:t>richiedono,</w:t>
      </w:r>
      <w:r>
        <w:t xml:space="preserve"> prima di ogni altra operazione, </w:t>
      </w:r>
      <w:r w:rsidR="00EE6F8B">
        <w:t xml:space="preserve">il </w:t>
      </w:r>
      <w:r>
        <w:t>dimenticarsi della giustizia sociale, dei servizi sociali</w:t>
      </w:r>
      <w:r w:rsidR="00EE6F8B">
        <w:t>.</w:t>
      </w:r>
    </w:p>
    <w:p w:rsidR="001F6F36" w:rsidRDefault="001F6F36" w:rsidP="001F6F36">
      <w:pPr>
        <w:ind w:right="1977" w:firstLine="283"/>
      </w:pPr>
      <w:r>
        <w:t xml:space="preserve">Quelli per i quali siamo in democrazia, sennò, </w:t>
      </w:r>
      <w:r w:rsidRPr="001F6F36">
        <w:rPr>
          <w:i/>
          <w:iCs/>
        </w:rPr>
        <w:t>vai in Russia!</w:t>
      </w:r>
    </w:p>
    <w:p w:rsidR="003576B4" w:rsidRDefault="003576B4" w:rsidP="001F6F36">
      <w:pPr>
        <w:ind w:left="0" w:right="1977"/>
      </w:pPr>
    </w:p>
    <w:p w:rsidR="00274995" w:rsidRPr="002D0118" w:rsidRDefault="003576B4" w:rsidP="002D0118">
      <w:pPr>
        <w:ind w:right="1977" w:firstLine="283"/>
      </w:pPr>
      <w:r>
        <w:t xml:space="preserve">Mai nessuno avrebbe pensato di arrivare ad applaudire Luigi Mangione, a pensare che quell’atto di giustizia individuale fosse anche un atto di giustizia sociale. </w:t>
      </w:r>
      <w:r w:rsidR="00BC2E2D">
        <w:t xml:space="preserve">Ma un passo alla volta si arriva ovunque. </w:t>
      </w:r>
      <w:r>
        <w:t>E mai nessuno, fino a ieri, quando i tentacoli della democrazia arrivavano fino a noi a trastullarci di buoni pensieri e di giusti propositi, avrebbe pensato che il solo antidoto all’incubo di questo presente</w:t>
      </w:r>
      <w:r w:rsidR="00EE6F8B">
        <w:t>,</w:t>
      </w:r>
      <w:r>
        <w:t xml:space="preserve"> e allo spettro del suo futuro, </w:t>
      </w:r>
      <w:r w:rsidR="00EE6F8B">
        <w:t>sarebbe stato</w:t>
      </w:r>
      <w:r>
        <w:t xml:space="preserve"> un altro Luigi</w:t>
      </w:r>
      <w:r w:rsidR="00EE6F8B">
        <w:t xml:space="preserve"> che</w:t>
      </w:r>
      <w:r w:rsidR="0065530F">
        <w:t xml:space="preserve"> si sacrificasse per tutti noi impotenti, staccando all’Unione Europea la testa di cobra in forma di donna</w:t>
      </w:r>
      <w:r w:rsidR="00C04380">
        <w:t xml:space="preserve"> e la sua </w:t>
      </w:r>
      <w:r w:rsidR="00087A7B">
        <w:t>corte</w:t>
      </w:r>
      <w:r w:rsidR="00C04380">
        <w:t xml:space="preserve"> di serpi apolidi.</w:t>
      </w:r>
    </w:p>
    <w:sectPr w:rsidR="00274995" w:rsidRPr="002D0118" w:rsidSect="009B4C4E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17D" w:rsidRDefault="00E8417D" w:rsidP="004149E4">
      <w:r>
        <w:separator/>
      </w:r>
    </w:p>
  </w:endnote>
  <w:endnote w:type="continuationSeparator" w:id="0">
    <w:p w:rsidR="00E8417D" w:rsidRDefault="00E8417D" w:rsidP="0041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379699992"/>
      <w:docPartObj>
        <w:docPartGallery w:val="Page Numbers (Bottom of Page)"/>
        <w:docPartUnique/>
      </w:docPartObj>
    </w:sdtPr>
    <w:sdtContent>
      <w:p w:rsidR="004149E4" w:rsidRDefault="004149E4" w:rsidP="0037113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149E4" w:rsidRDefault="004149E4" w:rsidP="004149E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66911064"/>
      <w:docPartObj>
        <w:docPartGallery w:val="Page Numbers (Bottom of Page)"/>
        <w:docPartUnique/>
      </w:docPartObj>
    </w:sdtPr>
    <w:sdtContent>
      <w:p w:rsidR="004149E4" w:rsidRDefault="004149E4" w:rsidP="0037113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149E4" w:rsidRDefault="004149E4" w:rsidP="004149E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17D" w:rsidRDefault="00E8417D" w:rsidP="004149E4">
      <w:r>
        <w:separator/>
      </w:r>
    </w:p>
  </w:footnote>
  <w:footnote w:type="continuationSeparator" w:id="0">
    <w:p w:rsidR="00E8417D" w:rsidRDefault="00E8417D" w:rsidP="0041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F"/>
    <w:rsid w:val="00087A7B"/>
    <w:rsid w:val="00095CAB"/>
    <w:rsid w:val="00120010"/>
    <w:rsid w:val="0012250F"/>
    <w:rsid w:val="001A0F6B"/>
    <w:rsid w:val="001E7CED"/>
    <w:rsid w:val="001F6F36"/>
    <w:rsid w:val="00274995"/>
    <w:rsid w:val="002D0118"/>
    <w:rsid w:val="003576B4"/>
    <w:rsid w:val="003B74F3"/>
    <w:rsid w:val="004149E4"/>
    <w:rsid w:val="00472FBB"/>
    <w:rsid w:val="004D1656"/>
    <w:rsid w:val="004F34C7"/>
    <w:rsid w:val="005013A1"/>
    <w:rsid w:val="005019DF"/>
    <w:rsid w:val="0061558E"/>
    <w:rsid w:val="00634DA1"/>
    <w:rsid w:val="0065530F"/>
    <w:rsid w:val="00697B24"/>
    <w:rsid w:val="006B0D64"/>
    <w:rsid w:val="006E2A23"/>
    <w:rsid w:val="00703E6D"/>
    <w:rsid w:val="007418B4"/>
    <w:rsid w:val="00784C59"/>
    <w:rsid w:val="007E3AA5"/>
    <w:rsid w:val="0086078C"/>
    <w:rsid w:val="00881831"/>
    <w:rsid w:val="008A1D75"/>
    <w:rsid w:val="009B44D5"/>
    <w:rsid w:val="009B4C4E"/>
    <w:rsid w:val="00A02EC5"/>
    <w:rsid w:val="00A7459F"/>
    <w:rsid w:val="00BC2E2D"/>
    <w:rsid w:val="00BD073E"/>
    <w:rsid w:val="00C04380"/>
    <w:rsid w:val="00C07BFB"/>
    <w:rsid w:val="00CA359B"/>
    <w:rsid w:val="00CD58FC"/>
    <w:rsid w:val="00D91269"/>
    <w:rsid w:val="00DC2635"/>
    <w:rsid w:val="00DC398C"/>
    <w:rsid w:val="00E63E7C"/>
    <w:rsid w:val="00E8417D"/>
    <w:rsid w:val="00E85EED"/>
    <w:rsid w:val="00E934A1"/>
    <w:rsid w:val="00EC2761"/>
    <w:rsid w:val="00EE308B"/>
    <w:rsid w:val="00EE6F8B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0CA31"/>
  <w15:chartTrackingRefBased/>
  <w15:docId w15:val="{ADB952EC-FC95-A349-948F-8B4571D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414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9E4"/>
  </w:style>
  <w:style w:type="character" w:styleId="Numeropagina">
    <w:name w:val="page number"/>
    <w:basedOn w:val="Carpredefinitoparagrafo"/>
    <w:uiPriority w:val="99"/>
    <w:semiHidden/>
    <w:unhideWhenUsed/>
    <w:rsid w:val="004149E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07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078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0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2A9A19-B387-E34F-8ADF-2669F827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cp:lastPrinted>2025-03-10T07:16:00Z</cp:lastPrinted>
  <dcterms:created xsi:type="dcterms:W3CDTF">2025-03-10T15:10:00Z</dcterms:created>
  <dcterms:modified xsi:type="dcterms:W3CDTF">2025-03-18T12:47:00Z</dcterms:modified>
</cp:coreProperties>
</file>